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Pr="00DC4DD4" w:rsidRDefault="0004304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3D15EC"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ФИЛИП ТОТЮ“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№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A80F30" w:rsidRPr="00DC4DD4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880D3F" w:rsidRPr="00880D3F" w:rsidRDefault="003D15EC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>и децата от подготвителната група в ОУ «Бачо Киро» гр. Велико Търново“</w:t>
      </w:r>
    </w:p>
    <w:p w:rsidR="00337E0A" w:rsidRPr="00DC4DD4" w:rsidRDefault="00337E0A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Долуподписаният/ната .................................................</w:t>
      </w:r>
      <w:r w:rsidRPr="00DC4DD4">
        <w:rPr>
          <w:rFonts w:ascii="Bookman Old Style" w:hAnsi="Bookman Old Style"/>
          <w:sz w:val="22"/>
          <w:szCs w:val="22"/>
          <w:lang w:val="bg-BG"/>
        </w:rPr>
        <w:t>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с ЕГН</w:t>
      </w:r>
      <w:r w:rsidRPr="00DC4DD4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......................................, в качеството ми на ……………………………………………</w:t>
      </w:r>
      <w:r w:rsidRPr="00DC4DD4">
        <w:rPr>
          <w:rFonts w:ascii="Bookman Old Style" w:hAnsi="Bookman Old Style"/>
          <w:sz w:val="22"/>
          <w:szCs w:val="22"/>
          <w:lang w:val="bg-BG"/>
        </w:rPr>
        <w:t>………</w:t>
      </w:r>
      <w:r w:rsidRPr="006B0590">
        <w:rPr>
          <w:rFonts w:ascii="Bookman Old Style" w:hAnsi="Bookman Old Style"/>
          <w:sz w:val="22"/>
          <w:szCs w:val="22"/>
          <w:lang w:val="bg-BG"/>
        </w:rPr>
        <w:t>…………………………………………………..,</w:t>
      </w:r>
    </w:p>
    <w:p w:rsidR="00880D3F" w:rsidRPr="00880D3F" w:rsidRDefault="006B0590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proofErr w:type="spellStart"/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вписано</w:t>
      </w:r>
      <w:proofErr w:type="spellEnd"/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r w:rsidRPr="006B0590">
        <w:rPr>
          <w:rFonts w:ascii="Bookman Old Style" w:hAnsi="Bookman Old Style"/>
          <w:sz w:val="22"/>
          <w:szCs w:val="22"/>
          <w:lang w:val="bg-BG"/>
        </w:rPr>
        <w:t>Т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ърговския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регистър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воден от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Агенцията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вписванията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с </w:t>
      </w:r>
      <w:r w:rsidRPr="006B0590">
        <w:rPr>
          <w:rFonts w:ascii="Bookman Old Style" w:hAnsi="Bookman Old Style"/>
          <w:sz w:val="22"/>
          <w:szCs w:val="22"/>
          <w:lang w:val="en-US"/>
        </w:rPr>
        <w:t>ЕИК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със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седалище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................................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и</w:t>
      </w:r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адрес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управление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Булстат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тел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факс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..................................... -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участник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обществена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поръчка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с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предмет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>и децата от подготвителната група в ОУ «Бачо Киро» гр. Велико Търново“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right="43"/>
        <w:jc w:val="both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DC4DD4" w:rsidRDefault="006B0590" w:rsidP="003D15EC">
      <w:pPr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ab/>
      </w:r>
    </w:p>
    <w:p w:rsidR="003D15EC" w:rsidRPr="00DC4DD4" w:rsidRDefault="006B0590" w:rsidP="00DC4DD4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Правя следното предложение за изпълнение на обявенатата поръчка:</w:t>
      </w:r>
    </w:p>
    <w:p w:rsidR="00DC4DD4" w:rsidRDefault="006B0590" w:rsidP="006B0590">
      <w:pPr>
        <w:spacing w:after="200" w:line="276" w:lineRule="auto"/>
        <w:ind w:firstLine="54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</w:p>
    <w:p w:rsidR="005F57B8" w:rsidRPr="005F57B8" w:rsidRDefault="005F57B8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УВАЖАЕМИ 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ДАМИ И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ГОСПОДА,</w:t>
      </w:r>
    </w:p>
    <w:p w:rsid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Желаем да участваме </w:t>
      </w:r>
      <w:r>
        <w:rPr>
          <w:rFonts w:ascii="Bookman Old Style" w:hAnsi="Bookman Old Style"/>
          <w:sz w:val="22"/>
          <w:szCs w:val="22"/>
          <w:lang w:val="bg-BG" w:eastAsia="bg-BG"/>
        </w:rPr>
        <w:t>горепосочената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процедура за възлагане на обществена поръчка с предмет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„Д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оставка на подкрепителна закуска за учениците от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. 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В състояние сме да изпълним за срока на договора 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изискванията на възложителя, посочени в техническата спецификация – задание</w:t>
      </w:r>
      <w:r w:rsidR="00B83DD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,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 и </w:t>
      </w: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документацията, а именно: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1.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413C24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закуски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три пъти седмично в дните – вторник, сряда и четвъртък, тогава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 за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учениците от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до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IV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клас и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lastRenderedPageBreak/>
        <w:t>децата от подготвителната група при ОУ „Бачо Киро</w:t>
      </w:r>
      <w:r w:rsidRPr="005F57B8">
        <w:rPr>
          <w:rFonts w:ascii="Bookman Old Style" w:hAnsi="Bookman Old Style"/>
          <w:sz w:val="22"/>
          <w:szCs w:val="22"/>
          <w:lang w:val="ru-RU" w:eastAsia="ar-SA"/>
        </w:rPr>
        <w:t>“ град Велико Търново</w:t>
      </w:r>
      <w:r w:rsidR="001B2DDA">
        <w:rPr>
          <w:rFonts w:ascii="Bookman Old Style" w:hAnsi="Bookman Old Style"/>
          <w:sz w:val="22"/>
          <w:szCs w:val="22"/>
          <w:lang w:val="ru-RU" w:eastAsia="ar-SA"/>
        </w:rPr>
        <w:t xml:space="preserve">. 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В състояние сме да доставяме до 554 </w:t>
      </w:r>
      <w:r w:rsidR="001B2DDA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закуски дневно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, а в случай на увеличение на бройката на децата да увеличим и броя на закуските, които ще доставяме</w:t>
      </w:r>
      <w:r w:rsidR="00413C24">
        <w:rPr>
          <w:rFonts w:ascii="Bookman Old Style" w:hAnsi="Bookman Old Style"/>
          <w:bCs/>
          <w:iCs/>
          <w:sz w:val="22"/>
          <w:szCs w:val="22"/>
          <w:lang w:val="bg-BG"/>
        </w:rPr>
        <w:t>, при запазване на всички останали условия, при които е възложена поръчката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При необходимост и след предварителна заявка от възложителя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закуски за диабетно болни.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2. Доставяните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посочените в таблицата по-долу,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изработени по рецепти, включени в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„Сборник рецепти за ученическите столове и бюфети“ (второ преработено и допълнено издание) автор доц. д-р Стефка Петрова и колектив, издателство „Техника“ 2012 г., одобрен от МЗ, а именно:</w:t>
      </w:r>
    </w:p>
    <w:p w:rsidR="005F57B8" w:rsidRPr="005F57B8" w:rsidRDefault="005F57B8" w:rsidP="005F57B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1806"/>
        <w:gridCol w:w="1317"/>
        <w:gridCol w:w="1417"/>
      </w:tblGrid>
      <w:tr w:rsidR="005F57B8" w:rsidRPr="005F57B8" w:rsidTr="00B20177">
        <w:tc>
          <w:tcPr>
            <w:tcW w:w="2556" w:type="pct"/>
            <w:vMerge w:val="restart"/>
            <w:shd w:val="clear" w:color="auto" w:fill="auto"/>
            <w:vAlign w:val="center"/>
          </w:tcPr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5F57B8" w:rsidRPr="005F57B8" w:rsidRDefault="005F57B8" w:rsidP="005F57B8">
            <w:pPr>
              <w:ind w:right="-288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ГРАМАЖ</w:t>
            </w:r>
          </w:p>
        </w:tc>
        <w:tc>
          <w:tcPr>
            <w:tcW w:w="1472" w:type="pct"/>
            <w:gridSpan w:val="2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„СБОРНИК РЕЦЕПТИ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ЗА УЧЕНИЧЕСКИТЕ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СТОЛОВЕ И БЮФЕТИ”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2012 </w:t>
            </w:r>
            <w:proofErr w:type="spellStart"/>
            <w:r w:rsidRPr="005F57B8"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5F57B8" w:rsidRPr="005F57B8" w:rsidTr="00B20177">
        <w:trPr>
          <w:trHeight w:val="42"/>
        </w:trPr>
        <w:tc>
          <w:tcPr>
            <w:tcW w:w="2556" w:type="pct"/>
            <w:vMerge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sz w:val="28"/>
                <w:szCs w:val="28"/>
              </w:rPr>
            </w:pPr>
            <w:proofErr w:type="spellStart"/>
            <w:r w:rsidRPr="005F57B8">
              <w:rPr>
                <w:sz w:val="28"/>
                <w:szCs w:val="28"/>
              </w:rPr>
              <w:t>рецепта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sz w:val="28"/>
                <w:szCs w:val="28"/>
              </w:rPr>
            </w:pPr>
            <w:proofErr w:type="spellStart"/>
            <w:r w:rsidRPr="005F57B8">
              <w:rPr>
                <w:sz w:val="28"/>
                <w:szCs w:val="28"/>
              </w:rPr>
              <w:t>страница</w:t>
            </w:r>
            <w:proofErr w:type="spellEnd"/>
          </w:p>
        </w:tc>
      </w:tr>
      <w:tr w:rsidR="005F57B8" w:rsidRPr="005F57B8" w:rsidTr="00B20177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1.</w:t>
            </w:r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F57B8">
              <w:rPr>
                <w:b/>
                <w:sz w:val="28"/>
                <w:szCs w:val="28"/>
              </w:rPr>
              <w:t>извара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1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82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2.</w:t>
            </w:r>
            <w:r w:rsidRPr="005F57B8">
              <w:rPr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спанак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 2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82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F57B8">
              <w:rPr>
                <w:b/>
                <w:sz w:val="28"/>
                <w:szCs w:val="28"/>
              </w:rPr>
              <w:t>Бърза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r w:rsidRPr="005F57B8">
              <w:rPr>
                <w:sz w:val="28"/>
                <w:szCs w:val="28"/>
              </w:rPr>
              <w:t>(</w:t>
            </w:r>
            <w:proofErr w:type="spellStart"/>
            <w:r w:rsidRPr="005F57B8">
              <w:rPr>
                <w:sz w:val="28"/>
                <w:szCs w:val="28"/>
              </w:rPr>
              <w:t>тутманик</w:t>
            </w:r>
            <w:proofErr w:type="spellEnd"/>
            <w:r w:rsidRPr="005F57B8">
              <w:rPr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75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р.6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84</w:t>
            </w:r>
          </w:p>
        </w:tc>
      </w:tr>
      <w:tr w:rsidR="005F57B8" w:rsidRPr="005F57B8" w:rsidTr="00115399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4.Бутерка с </w:t>
            </w:r>
            <w:proofErr w:type="spellStart"/>
            <w:r w:rsidRPr="005F57B8">
              <w:rPr>
                <w:b/>
                <w:sz w:val="28"/>
                <w:szCs w:val="28"/>
              </w:rPr>
              <w:t>ябълки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9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86</w:t>
            </w:r>
          </w:p>
        </w:tc>
      </w:tr>
      <w:tr w:rsidR="005F57B8" w:rsidRPr="005F57B8" w:rsidTr="00115399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5.Кекс с </w:t>
            </w:r>
            <w:proofErr w:type="spellStart"/>
            <w:r w:rsidRPr="005F57B8">
              <w:rPr>
                <w:b/>
                <w:sz w:val="28"/>
                <w:szCs w:val="28"/>
              </w:rPr>
              <w:t>кисело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мляко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13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87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6.Козуначена </w:t>
            </w:r>
            <w:proofErr w:type="spellStart"/>
            <w:r w:rsidRPr="005F57B8">
              <w:rPr>
                <w:b/>
                <w:sz w:val="28"/>
                <w:szCs w:val="28"/>
              </w:rPr>
              <w:t>кифла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27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95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7</w:t>
            </w:r>
            <w:r w:rsidRPr="005F57B8">
              <w:rPr>
                <w:sz w:val="28"/>
                <w:szCs w:val="28"/>
              </w:rPr>
              <w:t>.</w:t>
            </w:r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Пица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сирене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кашкавал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гъби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кисели</w:t>
            </w:r>
            <w:proofErr w:type="spellEnd"/>
            <w:r w:rsidRPr="005F57B8">
              <w:rPr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sz w:val="28"/>
                <w:szCs w:val="28"/>
              </w:rPr>
              <w:t>краставички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царевица</w:t>
            </w:r>
            <w:proofErr w:type="spellEnd"/>
            <w:r w:rsidRPr="005F57B8">
              <w:rPr>
                <w:sz w:val="28"/>
                <w:szCs w:val="28"/>
              </w:rPr>
              <w:t xml:space="preserve"> и </w:t>
            </w:r>
            <w:proofErr w:type="spellStart"/>
            <w:r w:rsidRPr="005F57B8">
              <w:rPr>
                <w:sz w:val="28"/>
                <w:szCs w:val="28"/>
              </w:rPr>
              <w:t>маслини</w:t>
            </w:r>
            <w:proofErr w:type="spellEnd"/>
            <w:r w:rsidRPr="005F5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г"/>
              </w:smartTagPr>
              <w:r w:rsidRPr="005F57B8">
                <w:rPr>
                  <w:sz w:val="28"/>
                  <w:szCs w:val="28"/>
                </w:rPr>
                <w:t>120 г</w:t>
              </w:r>
            </w:smartTag>
            <w:r w:rsidRPr="005F57B8">
              <w:rPr>
                <w:sz w:val="28"/>
                <w:szCs w:val="28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35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99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5F57B8">
              <w:rPr>
                <w:b/>
                <w:sz w:val="28"/>
                <w:szCs w:val="28"/>
              </w:rPr>
              <w:t>Кифла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F57B8">
              <w:rPr>
                <w:b/>
                <w:sz w:val="28"/>
                <w:szCs w:val="28"/>
              </w:rPr>
              <w:t>тиква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F57B8">
              <w:rPr>
                <w:b/>
                <w:sz w:val="28"/>
                <w:szCs w:val="28"/>
              </w:rPr>
              <w:t>канела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р.25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94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5F57B8">
              <w:rPr>
                <w:b/>
                <w:sz w:val="28"/>
                <w:szCs w:val="28"/>
              </w:rPr>
              <w:t>Овесени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питки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5F57B8">
              <w:rPr>
                <w:b/>
                <w:sz w:val="28"/>
                <w:szCs w:val="28"/>
              </w:rPr>
              <w:t>лъжливи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ореховки</w:t>
            </w:r>
            <w:proofErr w:type="spellEnd"/>
            <w:r w:rsidRPr="005F57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р.28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95</w:t>
            </w:r>
          </w:p>
        </w:tc>
      </w:tr>
      <w:tr w:rsidR="005F57B8" w:rsidRPr="005F57B8" w:rsidTr="00B20177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5F57B8">
              <w:rPr>
                <w:b/>
                <w:sz w:val="28"/>
                <w:szCs w:val="28"/>
              </w:rPr>
              <w:t>Печен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сандвич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сирене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F57B8">
              <w:rPr>
                <w:b/>
                <w:sz w:val="28"/>
                <w:szCs w:val="28"/>
              </w:rPr>
              <w:t>кашкавал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) и </w:t>
            </w:r>
            <w:proofErr w:type="spellStart"/>
            <w:r w:rsidRPr="005F57B8">
              <w:rPr>
                <w:b/>
                <w:sz w:val="28"/>
                <w:szCs w:val="28"/>
              </w:rPr>
              <w:t>яйце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F57B8">
              <w:rPr>
                <w:i/>
                <w:sz w:val="28"/>
                <w:szCs w:val="28"/>
              </w:rPr>
              <w:t>При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5F57B8">
              <w:rPr>
                <w:i/>
                <w:sz w:val="28"/>
                <w:szCs w:val="28"/>
              </w:rPr>
              <w:t>възможност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за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бърза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доставка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F57B8">
              <w:rPr>
                <w:i/>
                <w:sz w:val="28"/>
                <w:szCs w:val="28"/>
              </w:rPr>
              <w:t>на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F57B8">
              <w:rPr>
                <w:i/>
                <w:sz w:val="28"/>
                <w:szCs w:val="28"/>
              </w:rPr>
              <w:t>топъл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сандвич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85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р.50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стр.107</w:t>
            </w:r>
          </w:p>
        </w:tc>
      </w:tr>
    </w:tbl>
    <w:p w:rsidR="005F57B8" w:rsidRPr="005F57B8" w:rsidRDefault="005F57B8" w:rsidP="005F57B8">
      <w:pPr>
        <w:rPr>
          <w:sz w:val="28"/>
          <w:szCs w:val="28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3.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 да доставяме закуски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, различ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и от посочените в таблицата по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-горе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вид, грамаж и продукти, в т.ч. и колич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ствено съотношение на вложените продукти. Закуските 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произведени в деня на доставката.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4. В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ложените в </w:t>
      </w:r>
      <w:r w:rsidR="002A6B83">
        <w:rPr>
          <w:rFonts w:ascii="Bookman Old Style" w:eastAsia="Calibri" w:hAnsi="Bookman Old Style"/>
          <w:sz w:val="22"/>
          <w:szCs w:val="22"/>
          <w:lang w:val="bg-BG"/>
        </w:rPr>
        <w:t xml:space="preserve">закуските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млека и млечни хранителни продукти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са без добавени растителни мазнини, </w:t>
      </w:r>
      <w:r w:rsidR="00B83DD8"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отговарят на изискванията на Раздел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lastRenderedPageBreak/>
        <w:t>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. Млечните продукти в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са с намалена масленост  (от краве мляко до 2%).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5. Вид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овете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 от горепосочените, които ще се доставят във всяка седмица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от действието на договора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се одобряват предварително до края на седмицата, предхождаща доставката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от посочено от директора на училището лице по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наше предложение</w:t>
      </w:r>
      <w:r w:rsidR="002A6B83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(седмично меню)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В рамките на една седмица видовете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да се повтарят,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като 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редуват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сладки и солени в последователните дни на доставка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В рамките на три последователни седмици даден вид закуска </w:t>
      </w:r>
      <w:r>
        <w:rPr>
          <w:rFonts w:ascii="Bookman Old Style" w:hAnsi="Bookman Old Style" w:cs="Hebar"/>
          <w:sz w:val="22"/>
          <w:szCs w:val="22"/>
          <w:lang w:val="bg-BG" w:eastAsia="ar-SA"/>
        </w:rPr>
        <w:t>няма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да се повтаря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6. Закуските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в индивидуална опаковка за еднократно ползване.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Опаковките на всяка от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бъде с ненарушена цялост, с етикети на български език и да съдържа информация за вида на доставката, съдържание на хранителните продукти, производител, качеството, датата на производство и срока на годност, партиден № (номер), съгласно Регламент 1169/2011 г. за съдържащите се в изделието алергени и в съответствие с чл.6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7. Доставката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извършва до 7,30 часа на съответния ден, 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с транспортни средства (собствени или наети) оборудвани за доставка на храни при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спазване изискването на чл.5 от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като транспортните разходи да са за сметка на изпълнителя.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бъдат доставяни в стола на училището със специализиран</w:t>
      </w:r>
      <w:r>
        <w:rPr>
          <w:rFonts w:ascii="Bookman Old Style" w:eastAsia="Calibri" w:hAnsi="Bookman Old Style"/>
          <w:sz w:val="22"/>
          <w:szCs w:val="22"/>
          <w:lang w:val="bg-BG"/>
        </w:rPr>
        <w:t>ия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транспорт.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Закуските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 xml:space="preserve">ще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се доставят разпределени в отделни контейнери за съответните класове, паралелки и подготвителна група, според броя на децата в тях за деня.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При необходимост превозните средства, съдовете, използвани за транспорт на храни, </w:t>
      </w:r>
      <w:r w:rsidR="00852247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осигуряват с оборудване за поддържане и наблюдаване на температурите, необходими за съхранение на храните. При транспортирането </w:t>
      </w:r>
      <w:r w:rsidR="00AB0074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спазва изискването на чл.5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ab/>
        <w:t xml:space="preserve">8. </w:t>
      </w:r>
      <w:r w:rsidR="00AB0074">
        <w:rPr>
          <w:rFonts w:ascii="Bookman Old Style" w:hAnsi="Bookman Old Style"/>
          <w:bCs/>
          <w:iCs/>
          <w:sz w:val="22"/>
          <w:szCs w:val="22"/>
          <w:lang w:val="bg-BG" w:eastAsia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се спазват изискванията на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37 от 21.07.2009 г. за здравословно хранене на учениците 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>ОДБХ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,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Наредба № 23 от 19.07.2005г. </w:t>
      </w:r>
      <w:r w:rsidRPr="005F57B8">
        <w:rPr>
          <w:rFonts w:ascii="Bookman Old Style" w:hAnsi="Bookman Old Style"/>
          <w:bCs/>
          <w:sz w:val="22"/>
          <w:szCs w:val="22"/>
          <w:lang w:val="bg-BG" w:eastAsia="bg-BG"/>
        </w:rPr>
        <w:t xml:space="preserve"> за физиологичните норми за хранене на населението,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1 от 26.01.2016 г. за хигиената на храните,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lastRenderedPageBreak/>
        <w:t xml:space="preserve">Наредба № 4 от 03.02.2015 г. за изискванията към използване на добавки в храните, Наредба № 5 от 09.02.2015 г. за определяне на максимално допустимите количества на някои замърсители в храните, Наредба № 2 от 23.01.2015 г. за максимално допустимите количества на остатъци от пестициди във или върху храни, Наредба за изискванията към бързо замразените храни, Наредба за изискванията за етикетирането и представянето на храните, Българските стандарти, с които се въвеждат хармонизирани европейски стандарти или Европейско техническо одобрение (с или без ръководство), или признати национални технически спецификации (национални стандарти), когато не съществуват други технически спецификации,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ОДБХ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2A6B83" w:rsidRDefault="005F57B8" w:rsidP="002A6B83">
      <w:pPr>
        <w:spacing w:before="100" w:beforeAutospacing="1" w:after="100" w:afterAutospacing="1"/>
        <w:ind w:right="424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Приемаме и се задължаваме в случай на липси и недостатъци, установени при доставката чрез </w:t>
      </w:r>
      <w:r w:rsidR="002A6B83">
        <w:rPr>
          <w:rFonts w:ascii="Bookman Old Style" w:hAnsi="Bookman Old Style"/>
          <w:sz w:val="22"/>
          <w:szCs w:val="22"/>
          <w:lang w:val="bg-BG" w:eastAsia="bg-BG"/>
        </w:rPr>
        <w:t>приемо-предавателен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протокол, до един час от съставянето му – да подменим негодната храна или възстановим липсите.</w:t>
      </w:r>
    </w:p>
    <w:p w:rsidR="005F57B8" w:rsidRDefault="005F57B8" w:rsidP="002A6B83">
      <w:pPr>
        <w:spacing w:before="100" w:beforeAutospacing="1" w:after="100" w:afterAutospacing="1"/>
        <w:ind w:right="424" w:firstLine="426"/>
        <w:jc w:val="both"/>
        <w:rPr>
          <w:rStyle w:val="alt2"/>
          <w:rFonts w:ascii="Bookman Old Style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През последните години сме 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изпълнили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които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идентични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или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сходни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предмета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обществената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поръчка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за удостоверяване на което представяме </w:t>
      </w:r>
      <w:r w:rsidR="00AB0074" w:rsidRP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списък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посочване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стойностите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датите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получателите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заедно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доказателство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извършената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доставка</w:t>
      </w:r>
      <w:proofErr w:type="spellEnd"/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За изпълнението на поръчката разполагане с </w:t>
      </w:r>
      <w:r w:rsidR="00AB0074">
        <w:rPr>
          <w:rFonts w:ascii="Bookman Old Style" w:hAnsi="Bookman Old Style"/>
          <w:sz w:val="22"/>
          <w:szCs w:val="22"/>
          <w:lang w:val="ru-RU" w:eastAsia="ar-SA"/>
        </w:rPr>
        <w:t xml:space="preserve">МПС, </w:t>
      </w:r>
      <w:r w:rsidR="00AB0074" w:rsidRPr="00FD6DD7">
        <w:rPr>
          <w:rFonts w:ascii="Bookman Old Style" w:hAnsi="Bookman Old Style" w:cs="Hebar"/>
          <w:sz w:val="22"/>
          <w:szCs w:val="22"/>
          <w:lang w:val="bg-BG" w:eastAsia="ar-SA"/>
        </w:rPr>
        <w:t>оборудвани за доставка на храни</w:t>
      </w:r>
      <w:r w:rsidR="00852247">
        <w:rPr>
          <w:rFonts w:ascii="Bookman Old Style" w:hAnsi="Bookman Old Style" w:cs="Hebar"/>
          <w:sz w:val="22"/>
          <w:szCs w:val="22"/>
          <w:lang w:val="bg-BG" w:eastAsia="ar-SA"/>
        </w:rPr>
        <w:t>,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на които представяме 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списък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.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В състояние сме да изпълняваме поръчката за периода, посочен в документацията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– една година след сключване на договора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AB0074" w:rsidRDefault="005F57B8" w:rsidP="00AB0074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AB0074">
      <w:pPr>
        <w:ind w:right="424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Плащането на предлаганата цена на обществената поръчка може да се осъществи до .......................... дни след връчване на издадената от нас фактура на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>в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ъзложителя.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Срокът на валидност на настоящата оферта е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……………………….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(не по-рано от 06.06.2017</w:t>
      </w:r>
      <w:r w:rsidR="00852247">
        <w:rPr>
          <w:rFonts w:ascii="Bookman Old Style" w:hAnsi="Bookman Old Style"/>
          <w:i/>
          <w:sz w:val="22"/>
          <w:szCs w:val="22"/>
          <w:lang w:val="bg-BG" w:eastAsia="bg-BG"/>
        </w:rPr>
        <w:t xml:space="preserve"> 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г. – оферта, която е с по-малък срок на валидност не се допуска до класиране).</w:t>
      </w:r>
    </w:p>
    <w:p w:rsidR="00AB0074" w:rsidRDefault="00AB0074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shd w:val="clear" w:color="auto" w:fill="FFFFFF"/>
        <w:spacing w:after="200" w:line="269" w:lineRule="exact"/>
        <w:ind w:right="34" w:firstLine="720"/>
        <w:jc w:val="both"/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pacing w:val="7"/>
          <w:sz w:val="22"/>
          <w:szCs w:val="22"/>
          <w:lang w:val="bg-BG"/>
        </w:rPr>
        <w:t xml:space="preserve">Декларирам, че при изпълнение на </w:t>
      </w:r>
      <w:r w:rsidRPr="001524A5">
        <w:rPr>
          <w:rFonts w:ascii="Bookman Old Style" w:eastAsia="Calibri" w:hAnsi="Bookman Old Style"/>
          <w:color w:val="000000"/>
          <w:spacing w:val="7"/>
          <w:sz w:val="22"/>
          <w:szCs w:val="22"/>
          <w:lang w:val="bg-BG"/>
        </w:rPr>
        <w:t xml:space="preserve">поръчката </w:t>
      </w:r>
      <w:r w:rsidRPr="001524A5">
        <w:rPr>
          <w:rFonts w:ascii="Bookman Old Style" w:eastAsia="Calibri" w:hAnsi="Bookman Old Style"/>
          <w:bCs/>
          <w:color w:val="000000"/>
          <w:spacing w:val="7"/>
          <w:sz w:val="22"/>
          <w:szCs w:val="22"/>
          <w:lang w:val="bg-BG"/>
        </w:rPr>
        <w:t xml:space="preserve">няма да ползваме/ще ползваме 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подизпълнители 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(</w:t>
      </w:r>
      <w:r w:rsidRPr="001524A5">
        <w:rPr>
          <w:rFonts w:ascii="Bookman Old Style" w:eastAsia="Calibri" w:hAnsi="Bookman Old Style"/>
          <w:bCs/>
          <w:i/>
          <w:iCs/>
          <w:color w:val="000000"/>
          <w:spacing w:val="-3"/>
          <w:sz w:val="22"/>
          <w:szCs w:val="22"/>
          <w:lang w:val="bg-BG"/>
        </w:rPr>
        <w:t>невярното се зачертава или изтрива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)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, както следва: </w:t>
      </w:r>
      <w:r w:rsidRPr="001524A5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(име и адрес на фирмата-подизпълнител</w:t>
      </w:r>
      <w:r w:rsidRPr="00DC4DD4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, ЕИК, вид и дял на тяхното участие, както и обхват на дейностите, които ще извършва).</w:t>
      </w:r>
    </w:p>
    <w:p w:rsidR="00AB0074" w:rsidRPr="00DC4DD4" w:rsidRDefault="00AB0074" w:rsidP="00AB0074">
      <w:pPr>
        <w:shd w:val="clear" w:color="auto" w:fill="FFFFFF"/>
        <w:tabs>
          <w:tab w:val="left" w:leader="dot" w:pos="7224"/>
        </w:tabs>
        <w:spacing w:after="200" w:line="269" w:lineRule="exact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1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shd w:val="clear" w:color="auto" w:fill="FFFFFF"/>
        <w:tabs>
          <w:tab w:val="left" w:leader="dot" w:pos="7339"/>
        </w:tabs>
        <w:spacing w:before="125" w:after="200" w:line="276" w:lineRule="auto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2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>Друга информация: ........................................................................</w:t>
      </w:r>
    </w:p>
    <w:p w:rsidR="00AB0074" w:rsidRPr="00DC4DD4" w:rsidRDefault="00AB0074" w:rsidP="00AB0074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3D15EC" w:rsidRPr="00DC4DD4" w:rsidRDefault="005F57B8" w:rsidP="00AB0074">
      <w:pPr>
        <w:ind w:right="424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  <w:r w:rsidR="00DC4DD4" w:rsidRPr="00DC4DD4"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  <w:t xml:space="preserve"> </w:t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3D15EC" w:rsidRPr="00DC4DD4" w:rsidRDefault="003D15EC" w:rsidP="003D15EC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 xml:space="preserve">              (</w:t>
      </w:r>
      <w:r w:rsidRPr="00DC4DD4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</w:p>
    <w:p w:rsidR="004E5CB6" w:rsidRPr="00DC4DD4" w:rsidRDefault="004E5CB6">
      <w:pPr>
        <w:rPr>
          <w:sz w:val="22"/>
          <w:szCs w:val="22"/>
        </w:rPr>
      </w:pPr>
    </w:p>
    <w:sectPr w:rsidR="004E5CB6" w:rsidRPr="00D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4304C"/>
    <w:rsid w:val="0006262C"/>
    <w:rsid w:val="000D4DFC"/>
    <w:rsid w:val="00115399"/>
    <w:rsid w:val="001524A5"/>
    <w:rsid w:val="00166E04"/>
    <w:rsid w:val="001B2DDA"/>
    <w:rsid w:val="002965F0"/>
    <w:rsid w:val="002A6B83"/>
    <w:rsid w:val="002C4BE6"/>
    <w:rsid w:val="00337E0A"/>
    <w:rsid w:val="003D15EC"/>
    <w:rsid w:val="00413C24"/>
    <w:rsid w:val="0045297D"/>
    <w:rsid w:val="004E5CB6"/>
    <w:rsid w:val="005F57B8"/>
    <w:rsid w:val="006433B0"/>
    <w:rsid w:val="006B0590"/>
    <w:rsid w:val="00852247"/>
    <w:rsid w:val="00880D3F"/>
    <w:rsid w:val="008A35A2"/>
    <w:rsid w:val="0097785D"/>
    <w:rsid w:val="00A80F30"/>
    <w:rsid w:val="00AB0074"/>
    <w:rsid w:val="00AB0A69"/>
    <w:rsid w:val="00AD0446"/>
    <w:rsid w:val="00B83DD8"/>
    <w:rsid w:val="00DB6E32"/>
    <w:rsid w:val="00DC4DD4"/>
    <w:rsid w:val="00F74ACE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Denica</cp:lastModifiedBy>
  <cp:revision>24</cp:revision>
  <dcterms:created xsi:type="dcterms:W3CDTF">2016-10-05T14:02:00Z</dcterms:created>
  <dcterms:modified xsi:type="dcterms:W3CDTF">2017-03-29T07:39:00Z</dcterms:modified>
</cp:coreProperties>
</file>